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120" w:lineRule="auto"/>
        <w:ind w:left="0" w:firstLine="0"/>
        <w:jc w:val="both"/>
        <w:rPr/>
      </w:pPr>
      <w:bookmarkStart w:colFirst="0" w:colLast="0" w:name="_uhf1fb2cfgkg" w:id="0"/>
      <w:bookmarkEnd w:id="0"/>
      <w:r w:rsidDel="00000000" w:rsidR="00000000" w:rsidRPr="00000000">
        <w:rPr>
          <w:rtl w:val="0"/>
        </w:rPr>
        <w:t xml:space="preserve">Annexe méthodologique</w:t>
      </w:r>
    </w:p>
    <w:p w:rsidR="00000000" w:rsidDel="00000000" w:rsidP="00000000" w:rsidRDefault="00000000" w:rsidRPr="00000000" w14:paraId="00000002">
      <w:pPr>
        <w:spacing w:after="12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Pour le tableau </w:t>
      </w:r>
      <w:r w:rsidDel="00000000" w:rsidR="00000000" w:rsidRPr="00000000">
        <w:rPr>
          <w:i w:val="1"/>
          <w:rtl w:val="0"/>
        </w:rPr>
        <w:t xml:space="preserve">Poids et contribution des profits à l’évolution des prix de production selon les branches d’activité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731200" cy="2540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4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Calcul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: </w:t>
      </w:r>
    </w:p>
    <w:p w:rsidR="00000000" w:rsidDel="00000000" w:rsidP="00000000" w:rsidRDefault="00000000" w:rsidRPr="00000000" w14:paraId="00000005">
      <w:pPr>
        <w:spacing w:after="12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 décompose ainsi la production en euros courants : </w:t>
      </w:r>
    </w:p>
    <w:p w:rsidR="00000000" w:rsidDel="00000000" w:rsidP="00000000" w:rsidRDefault="00000000" w:rsidRPr="00000000" w14:paraId="00000006">
      <w:pPr>
        <w:spacing w:after="12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Production (€) = Intrants (€) + Salaires (€) + Impôts nets (€) + Profits (€)</w:t>
      </w:r>
    </w:p>
    <w:p w:rsidR="00000000" w:rsidDel="00000000" w:rsidP="00000000" w:rsidRDefault="00000000" w:rsidRPr="00000000" w14:paraId="00000007">
      <w:pPr>
        <w:spacing w:after="12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 décompose ainsi le prix de production : </w:t>
      </w:r>
    </w:p>
    <w:p w:rsidR="00000000" w:rsidDel="00000000" w:rsidP="00000000" w:rsidRDefault="00000000" w:rsidRPr="00000000" w14:paraId="00000008">
      <w:pPr>
        <w:spacing w:after="12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Production (€) / Production (vol) = </w:t>
      </w:r>
    </w:p>
    <w:p w:rsidR="00000000" w:rsidDel="00000000" w:rsidP="00000000" w:rsidRDefault="00000000" w:rsidRPr="00000000" w14:paraId="00000009">
      <w:pPr>
        <w:spacing w:after="120" w:lineRule="auto"/>
        <w:ind w:left="144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(Intrants (€) / Production (vol)) </w:t>
      </w:r>
    </w:p>
    <w:p w:rsidR="00000000" w:rsidDel="00000000" w:rsidP="00000000" w:rsidRDefault="00000000" w:rsidRPr="00000000" w14:paraId="0000000A">
      <w:pPr>
        <w:spacing w:after="120" w:lineRule="auto"/>
        <w:ind w:left="144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+ (Salaires (€) / Production (vol))</w:t>
      </w:r>
    </w:p>
    <w:p w:rsidR="00000000" w:rsidDel="00000000" w:rsidP="00000000" w:rsidRDefault="00000000" w:rsidRPr="00000000" w14:paraId="0000000B">
      <w:pPr>
        <w:spacing w:after="120" w:lineRule="auto"/>
        <w:ind w:left="144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+ (Impôts nets (€) / Production (vol))</w:t>
      </w:r>
    </w:p>
    <w:p w:rsidR="00000000" w:rsidDel="00000000" w:rsidP="00000000" w:rsidRDefault="00000000" w:rsidRPr="00000000" w14:paraId="0000000C">
      <w:pPr>
        <w:spacing w:after="120" w:lineRule="auto"/>
        <w:ind w:left="144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+ (Profits (€) / Production (vol))</w:t>
      </w:r>
    </w:p>
    <w:p w:rsidR="00000000" w:rsidDel="00000000" w:rsidP="00000000" w:rsidRDefault="00000000" w:rsidRPr="00000000" w14:paraId="0000000D">
      <w:pPr>
        <w:spacing w:after="12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contribution des profits à l’évolution des prix de production se calcule dès lors ainsi : </w:t>
      </w:r>
    </w:p>
    <w:p w:rsidR="00000000" w:rsidDel="00000000" w:rsidP="00000000" w:rsidRDefault="00000000" w:rsidRPr="00000000" w14:paraId="0000000E">
      <w:pPr>
        <w:spacing w:after="12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Profits (€) / Production (€) x taux de croissance de (Profits (€) / Production (vol))</w:t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Illustration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: Imaginons que les prix de production augmentent de 10 %. </w:t>
      </w:r>
    </w:p>
    <w:p w:rsidR="00000000" w:rsidDel="00000000" w:rsidP="00000000" w:rsidRDefault="00000000" w:rsidRPr="00000000" w14:paraId="00000011">
      <w:pPr>
        <w:spacing w:after="12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le poids des profits (exprimés en euros) dans la production (également exprimée en euros), c’est-à-dire le ratio Profits (€) / Production (€), est de 20 %, et si le taux de croissance de (Profits (€) / Production (vol)) est de 10 %, alors la contribution des profits à l’évolution des prix de production sera de 2 % (20 % × 10 %). Les profits contribuent donc pour 20 % à la hausse des prix de production (2 % rapporté à 10 %), conformément à leur poids dans la production.</w:t>
      </w:r>
    </w:p>
    <w:p w:rsidR="00000000" w:rsidDel="00000000" w:rsidP="00000000" w:rsidRDefault="00000000" w:rsidRPr="00000000" w14:paraId="00000012">
      <w:pPr>
        <w:spacing w:after="12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revanche, si les profits contribuent pour 30 % à la hausse des prix de production, cela signifie que les profits contribuent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davantage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que leur poids à l’évolution des prix de production, donc que la dynamique des profits alimente l’inflation, au lieu de la freiner.</w:t>
      </w:r>
    </w:p>
    <w:p w:rsidR="00000000" w:rsidDel="00000000" w:rsidP="00000000" w:rsidRDefault="00000000" w:rsidRPr="00000000" w14:paraId="00000013">
      <w:pPr>
        <w:spacing w:after="120" w:lineRule="auto"/>
        <w:ind w:left="0" w:firstLine="0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Aide à la lecture du tableau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Pour chaque branche d’activité du secteur marchand, on calcule la hausse des prix de production (inflation), le poids des profits dans la production, et la contribution des profits à la hausse du prix de production. </w:t>
      </w:r>
    </w:p>
    <w:p w:rsidR="00000000" w:rsidDel="00000000" w:rsidP="00000000" w:rsidRDefault="00000000" w:rsidRPr="00000000" w14:paraId="00000015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Dans les branches d’activité surlignées en jaune, l’inflation a été très importante, et les profits ont fortement contribué à cette inflation (davantage que leur poids dans la production) entre début 2021 et fin 2023. C’est dans cette configuration là qu’on peut parler d’inflation tirée par les profits. </w:t>
      </w:r>
    </w:p>
    <w:p w:rsidR="00000000" w:rsidDel="00000000" w:rsidP="00000000" w:rsidRDefault="00000000" w:rsidRPr="00000000" w14:paraId="00000016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Dans d’autres branches d’activité (comme les services immobiliers), la contribution des profits à l’inflation a pu être forte, mais dans un contexte de faible inflation : dans ce cas, on ne peut guère parler d’inflation tirée par les profits.</w:t>
      </w:r>
    </w:p>
    <w:p w:rsidR="00000000" w:rsidDel="00000000" w:rsidP="00000000" w:rsidRDefault="00000000" w:rsidRPr="00000000" w14:paraId="00000017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Dans ce tableau, nous pouvons avoir des chiffres qui peuvent sembler extravagants. Par exemple, entre début 2022 et fin 2023, dans les services de transport, la contribution des profits à l’inflation a été de -571,5 %. Comme l’inflation a été faible (1,1 %) et que les profits ont chuté davantage que les prix n’ont augmenté, alors on obtient ce chiffre spectaculaire, qui n’a pas pour autant une grande signification. </w:t>
      </w:r>
    </w:p>
    <w:p w:rsidR="00000000" w:rsidDel="00000000" w:rsidP="00000000" w:rsidRDefault="00000000" w:rsidRPr="00000000" w14:paraId="00000018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calcul des contributions des différentes composantes à l’évolution du prix de production n’a de sens et d’intérêt que pour les branches d’activité où l’inflation a été importante. Par souci d’exhaustivité, nous avons néanmoins laissé les résultats pour les différentes branches (à un niveau agrégé) du secteur marchand non agricole.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